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53EF" w:rsidP="6054B9BE" w:rsidRDefault="7D6AE4B7" w14:paraId="2C078E63" w14:textId="45FA737B">
      <w:pPr>
        <w:rPr>
          <w:b w:val="1"/>
          <w:bCs w:val="1"/>
          <w:u w:val="single"/>
        </w:rPr>
      </w:pPr>
      <w:r w:rsidRPr="6054B9BE" w:rsidR="125447CF">
        <w:rPr>
          <w:b w:val="1"/>
          <w:bCs w:val="1"/>
          <w:u w:val="single"/>
        </w:rPr>
        <w:t>KUIC (Keele University International College)</w:t>
      </w:r>
      <w:r w:rsidRPr="6054B9BE" w:rsidR="7D6AE4B7">
        <w:rPr>
          <w:b w:val="1"/>
          <w:bCs w:val="1"/>
          <w:u w:val="single"/>
        </w:rPr>
        <w:t xml:space="preserve"> Reasonable Adjustments Policy</w:t>
      </w:r>
    </w:p>
    <w:p w:rsidR="7D6AE4B7" w:rsidP="6054B9BE" w:rsidRDefault="7D6AE4B7" w14:paraId="3D196DED" w14:textId="5BF97187">
      <w:pPr>
        <w:pStyle w:val="Normal"/>
      </w:pPr>
      <w:r w:rsidRPr="6054B9BE" w:rsidR="7D6AE4B7">
        <w:rPr>
          <w:b w:val="1"/>
          <w:bCs w:val="1"/>
        </w:rPr>
        <w:t>Introduction</w:t>
      </w:r>
    </w:p>
    <w:p w:rsidR="7D6AE4B7" w:rsidP="6054B9BE" w:rsidRDefault="7D6AE4B7" w14:paraId="227119C7" w14:textId="7FAD0070">
      <w:pPr>
        <w:pStyle w:val="Normal"/>
        <w:rPr>
          <w:b w:val="0"/>
          <w:bCs w:val="0"/>
        </w:rPr>
      </w:pPr>
      <w:r w:rsidR="7D6AE4B7">
        <w:rPr>
          <w:b w:val="0"/>
          <w:bCs w:val="0"/>
        </w:rPr>
        <w:t xml:space="preserve">We are </w:t>
      </w:r>
      <w:r w:rsidR="66640174">
        <w:rPr>
          <w:b w:val="0"/>
          <w:bCs w:val="0"/>
        </w:rPr>
        <w:t>committed</w:t>
      </w:r>
      <w:r w:rsidR="7D6AE4B7">
        <w:rPr>
          <w:b w:val="0"/>
          <w:bCs w:val="0"/>
        </w:rPr>
        <w:t xml:space="preserve"> to social and educational inclusion through Keele University’s Learning and Teaching Strategy. This inclusion is reflected in the values of the UK Professional Standards Framework for teaching and sup</w:t>
      </w:r>
      <w:r w:rsidR="133633EF">
        <w:rPr>
          <w:b w:val="0"/>
          <w:bCs w:val="0"/>
        </w:rPr>
        <w:t>porting learning in Higher Education.</w:t>
      </w:r>
    </w:p>
    <w:p w:rsidR="133633EF" w:rsidP="6054B9BE" w:rsidRDefault="133633EF" w14:paraId="25876A32" w14:textId="6DFEA861">
      <w:pPr>
        <w:pStyle w:val="Normal"/>
        <w:rPr>
          <w:b w:val="0"/>
          <w:bCs w:val="0"/>
        </w:rPr>
      </w:pPr>
      <w:r w:rsidR="133633EF">
        <w:rPr>
          <w:b w:val="0"/>
          <w:bCs w:val="0"/>
        </w:rPr>
        <w:t xml:space="preserve">The Equality Act 2010 states ‘a person has a disability if they have a physical or mental impairment, and the impairment has a substantial and long-term adverse effect on their ability to carry out normal day-to-day activities.’ </w:t>
      </w:r>
    </w:p>
    <w:p w:rsidR="133633EF" w:rsidP="6054B9BE" w:rsidRDefault="133633EF" w14:paraId="776584EB" w14:textId="45BE2DEA">
      <w:pPr>
        <w:pStyle w:val="Normal"/>
        <w:rPr>
          <w:b w:val="0"/>
          <w:bCs w:val="0"/>
        </w:rPr>
      </w:pPr>
      <w:r w:rsidRPr="6054B9BE" w:rsidR="133633EF">
        <w:rPr>
          <w:b w:val="1"/>
          <w:bCs w:val="1"/>
        </w:rPr>
        <w:t>Purpose</w:t>
      </w:r>
    </w:p>
    <w:p w:rsidR="133633EF" w:rsidP="6054B9BE" w:rsidRDefault="133633EF" w14:paraId="59428C17" w14:textId="275F9DB2">
      <w:pPr>
        <w:pStyle w:val="Normal"/>
        <w:rPr>
          <w:b w:val="1"/>
          <w:bCs w:val="1"/>
        </w:rPr>
      </w:pPr>
      <w:r w:rsidR="133633EF">
        <w:rPr>
          <w:b w:val="0"/>
          <w:bCs w:val="0"/>
        </w:rPr>
        <w:t>We aim to ensure that students receive an inclusive learning experience which means all persons</w:t>
      </w:r>
      <w:r w:rsidR="5841AF84">
        <w:rPr>
          <w:b w:val="0"/>
          <w:bCs w:val="0"/>
        </w:rPr>
        <w:t>, disabled or able-bodied,</w:t>
      </w:r>
      <w:r w:rsidR="133633EF">
        <w:rPr>
          <w:b w:val="0"/>
          <w:bCs w:val="0"/>
        </w:rPr>
        <w:t xml:space="preserve"> are offered learning </w:t>
      </w:r>
      <w:r w:rsidR="0E46CA79">
        <w:rPr>
          <w:b w:val="0"/>
          <w:bCs w:val="0"/>
        </w:rPr>
        <w:t>opportunities</w:t>
      </w:r>
      <w:r w:rsidR="133633EF">
        <w:rPr>
          <w:b w:val="0"/>
          <w:bCs w:val="0"/>
        </w:rPr>
        <w:t xml:space="preserve"> that are equally </w:t>
      </w:r>
      <w:r w:rsidR="4CE73C37">
        <w:rPr>
          <w:b w:val="0"/>
          <w:bCs w:val="0"/>
        </w:rPr>
        <w:t>accessible</w:t>
      </w:r>
      <w:r w:rsidR="133633EF">
        <w:rPr>
          <w:b w:val="0"/>
          <w:bCs w:val="0"/>
        </w:rPr>
        <w:t xml:space="preserve"> to them.</w:t>
      </w:r>
      <w:r w:rsidR="54B50837">
        <w:rPr>
          <w:b w:val="0"/>
          <w:bCs w:val="0"/>
        </w:rPr>
        <w:t xml:space="preserve"> The UK Quality Code for Higher Education, Part B1-6, </w:t>
      </w:r>
      <w:r w:rsidR="12C97681">
        <w:rPr>
          <w:b w:val="0"/>
          <w:bCs w:val="0"/>
        </w:rPr>
        <w:t>states</w:t>
      </w:r>
      <w:r w:rsidR="54B50837">
        <w:rPr>
          <w:b w:val="0"/>
          <w:bCs w:val="0"/>
        </w:rPr>
        <w:t xml:space="preserve"> this provision should be offered where possible through reasonable individual adjustments, and applies equally to assessment.</w:t>
      </w:r>
    </w:p>
    <w:p w:rsidR="54B50837" w:rsidP="6054B9BE" w:rsidRDefault="54B50837" w14:paraId="00A71A2A" w14:textId="6D485C37">
      <w:pPr>
        <w:pStyle w:val="Normal"/>
        <w:rPr>
          <w:b w:val="0"/>
          <w:bCs w:val="0"/>
        </w:rPr>
      </w:pPr>
      <w:r w:rsidR="54B50837">
        <w:rPr>
          <w:b w:val="0"/>
          <w:bCs w:val="0"/>
        </w:rPr>
        <w:t xml:space="preserve">Higher </w:t>
      </w:r>
      <w:r w:rsidR="5D539DC2">
        <w:rPr>
          <w:b w:val="0"/>
          <w:bCs w:val="0"/>
        </w:rPr>
        <w:t>education</w:t>
      </w:r>
      <w:r w:rsidR="54B50837">
        <w:rPr>
          <w:b w:val="0"/>
          <w:bCs w:val="0"/>
        </w:rPr>
        <w:t xml:space="preserve"> providers </w:t>
      </w:r>
      <w:r w:rsidR="54B50837">
        <w:rPr>
          <w:b w:val="0"/>
          <w:bCs w:val="0"/>
        </w:rPr>
        <w:t>are required to</w:t>
      </w:r>
      <w:r w:rsidR="54B50837">
        <w:rPr>
          <w:b w:val="0"/>
          <w:bCs w:val="0"/>
        </w:rPr>
        <w:t xml:space="preserve"> take reasonable steps to:</w:t>
      </w:r>
    </w:p>
    <w:p w:rsidR="54B50837" w:rsidP="6054B9BE" w:rsidRDefault="54B50837" w14:paraId="094C1CCC" w14:textId="502086BB">
      <w:pPr>
        <w:pStyle w:val="ListParagraph"/>
        <w:numPr>
          <w:ilvl w:val="0"/>
          <w:numId w:val="1"/>
        </w:numPr>
        <w:rPr>
          <w:b w:val="0"/>
          <w:bCs w:val="0"/>
        </w:rPr>
      </w:pPr>
      <w:r w:rsidR="54B50837">
        <w:rPr>
          <w:b w:val="0"/>
          <w:bCs w:val="0"/>
        </w:rPr>
        <w:t>Mitigate against substantial disadvantage where a provision, criterion or practice may create barriers for the involvement and educational attainment of disabled people.</w:t>
      </w:r>
    </w:p>
    <w:p w:rsidR="54B50837" w:rsidP="6054B9BE" w:rsidRDefault="54B50837" w14:paraId="0E38DB64" w14:textId="7B66EB8F">
      <w:pPr>
        <w:pStyle w:val="ListParagraph"/>
        <w:numPr>
          <w:ilvl w:val="0"/>
          <w:numId w:val="1"/>
        </w:numPr>
        <w:rPr>
          <w:b w:val="0"/>
          <w:bCs w:val="0"/>
        </w:rPr>
      </w:pPr>
      <w:r w:rsidR="54B50837">
        <w:rPr>
          <w:b w:val="0"/>
          <w:bCs w:val="0"/>
        </w:rPr>
        <w:t>Alter or remove physical features that place disabled persons as a substantial disadvantage</w:t>
      </w:r>
    </w:p>
    <w:p w:rsidR="54B50837" w:rsidP="6054B9BE" w:rsidRDefault="54B50837" w14:paraId="41AEA741" w14:textId="3E99F3FC">
      <w:pPr>
        <w:pStyle w:val="ListParagraph"/>
        <w:numPr>
          <w:ilvl w:val="0"/>
          <w:numId w:val="1"/>
        </w:numPr>
        <w:rPr>
          <w:b w:val="0"/>
          <w:bCs w:val="0"/>
        </w:rPr>
      </w:pPr>
      <w:r w:rsidR="54B50837">
        <w:rPr>
          <w:b w:val="0"/>
          <w:bCs w:val="0"/>
        </w:rPr>
        <w:t>Provide an auxiliary aid where, without one, disabled students would be put at a disadvantage</w:t>
      </w:r>
    </w:p>
    <w:p w:rsidR="54B50837" w:rsidP="6054B9BE" w:rsidRDefault="54B50837" w14:paraId="678368B9" w14:textId="6D592BDE">
      <w:pPr>
        <w:pStyle w:val="ListParagraph"/>
        <w:numPr>
          <w:ilvl w:val="0"/>
          <w:numId w:val="1"/>
        </w:numPr>
        <w:rPr>
          <w:b w:val="0"/>
          <w:bCs w:val="0"/>
        </w:rPr>
      </w:pPr>
      <w:r w:rsidR="54B50837">
        <w:rPr>
          <w:b w:val="0"/>
          <w:bCs w:val="0"/>
        </w:rPr>
        <w:t xml:space="preserve">Consider adjustments to assessments or the provision of alternative arrangements for </w:t>
      </w:r>
      <w:r w:rsidR="55CE9B95">
        <w:rPr>
          <w:b w:val="0"/>
          <w:bCs w:val="0"/>
        </w:rPr>
        <w:t>assessment</w:t>
      </w:r>
      <w:r w:rsidR="54B50837">
        <w:rPr>
          <w:b w:val="0"/>
          <w:bCs w:val="0"/>
        </w:rPr>
        <w:t xml:space="preserve">, being mindful of the specific learning requirements of students with </w:t>
      </w:r>
      <w:r w:rsidR="22A2DEE9">
        <w:rPr>
          <w:b w:val="0"/>
          <w:bCs w:val="0"/>
        </w:rPr>
        <w:t>disabilities</w:t>
      </w:r>
      <w:r w:rsidR="54B50837">
        <w:rPr>
          <w:b w:val="0"/>
          <w:bCs w:val="0"/>
        </w:rPr>
        <w:t xml:space="preserve">. </w:t>
      </w:r>
    </w:p>
    <w:p w:rsidR="5CA0206A" w:rsidP="6054B9BE" w:rsidRDefault="5CA0206A" w14:paraId="694C1A09" w14:textId="1CDACC39">
      <w:pPr>
        <w:pStyle w:val="Normal"/>
        <w:ind w:left="0"/>
        <w:rPr>
          <w:b w:val="0"/>
          <w:bCs w:val="0"/>
        </w:rPr>
      </w:pPr>
      <w:r w:rsidRPr="6054B9BE" w:rsidR="5CA0206A">
        <w:rPr>
          <w:b w:val="1"/>
          <w:bCs w:val="1"/>
        </w:rPr>
        <w:t>Scope</w:t>
      </w:r>
    </w:p>
    <w:p w:rsidR="3B021414" w:rsidP="6054B9BE" w:rsidRDefault="3B021414" w14:paraId="41D28F13" w14:textId="25A8EBBF">
      <w:pPr>
        <w:pStyle w:val="Normal"/>
        <w:ind w:left="0"/>
        <w:rPr>
          <w:b w:val="0"/>
          <w:bCs w:val="0"/>
        </w:rPr>
      </w:pPr>
      <w:r w:rsidR="3B021414">
        <w:rPr>
          <w:b w:val="0"/>
          <w:bCs w:val="0"/>
        </w:rPr>
        <w:t>This policy applies to all staff and students and is relevant to students with disabilities, additional educational needs, or long-term medical conditions.</w:t>
      </w:r>
      <w:r w:rsidR="23E4CFD9">
        <w:rPr>
          <w:b w:val="0"/>
          <w:bCs w:val="0"/>
        </w:rPr>
        <w:t xml:space="preserve"> This policy has been developed with reference to good practice available within the sector, including that available from the Equality Challenge Unit. The policy highlights the requirements within the Equality Act 2010 for staff to ensure that the teaching and learning experience is inclusive for all students.</w:t>
      </w:r>
      <w:r w:rsidR="2F2C9699">
        <w:rPr>
          <w:b w:val="0"/>
          <w:bCs w:val="0"/>
        </w:rPr>
        <w:t xml:space="preserve"> Considerations for reasonable adjustments </w:t>
      </w:r>
      <w:r w:rsidR="46D1B20A">
        <w:rPr>
          <w:b w:val="0"/>
          <w:bCs w:val="0"/>
        </w:rPr>
        <w:t>might involve:</w:t>
      </w:r>
    </w:p>
    <w:p w:rsidR="46D1B20A" w:rsidP="6054B9BE" w:rsidRDefault="46D1B20A" w14:paraId="53CC6077" w14:textId="2B3F5D09">
      <w:pPr>
        <w:pStyle w:val="ListParagraph"/>
        <w:numPr>
          <w:ilvl w:val="0"/>
          <w:numId w:val="2"/>
        </w:numPr>
        <w:rPr>
          <w:b w:val="0"/>
          <w:bCs w:val="0"/>
        </w:rPr>
      </w:pPr>
      <w:r w:rsidR="46D1B20A">
        <w:rPr>
          <w:b w:val="0"/>
          <w:bCs w:val="0"/>
        </w:rPr>
        <w:t>Adapting materials used in an assessment to aid accessibility</w:t>
      </w:r>
    </w:p>
    <w:p w:rsidR="46D1B20A" w:rsidP="6054B9BE" w:rsidRDefault="46D1B20A" w14:paraId="7241FA42" w14:textId="25B67D67">
      <w:pPr>
        <w:pStyle w:val="ListParagraph"/>
        <w:numPr>
          <w:ilvl w:val="0"/>
          <w:numId w:val="2"/>
        </w:numPr>
        <w:rPr>
          <w:b w:val="0"/>
          <w:bCs w:val="0"/>
        </w:rPr>
      </w:pPr>
      <w:bookmarkStart w:name="_Int_UiI230HN" w:id="1455676158"/>
      <w:proofErr w:type="gramStart"/>
      <w:r w:rsidR="46D1B20A">
        <w:rPr>
          <w:b w:val="0"/>
          <w:bCs w:val="0"/>
        </w:rPr>
        <w:t>Providing assistance</w:t>
      </w:r>
      <w:proofErr w:type="gramEnd"/>
      <w:bookmarkEnd w:id="1455676158"/>
      <w:r w:rsidR="46D1B20A">
        <w:rPr>
          <w:b w:val="0"/>
          <w:bCs w:val="0"/>
        </w:rPr>
        <w:t xml:space="preserve"> during the assessment</w:t>
      </w:r>
    </w:p>
    <w:p w:rsidR="46D1B20A" w:rsidP="6054B9BE" w:rsidRDefault="46D1B20A" w14:paraId="07C1071C" w14:textId="60ACAB41">
      <w:pPr>
        <w:pStyle w:val="ListParagraph"/>
        <w:numPr>
          <w:ilvl w:val="0"/>
          <w:numId w:val="2"/>
        </w:numPr>
        <w:rPr>
          <w:b w:val="0"/>
          <w:bCs w:val="0"/>
        </w:rPr>
      </w:pPr>
      <w:r w:rsidR="46D1B20A">
        <w:rPr>
          <w:b w:val="0"/>
          <w:bCs w:val="0"/>
        </w:rPr>
        <w:t>Re-</w:t>
      </w:r>
      <w:proofErr w:type="spellStart"/>
      <w:r w:rsidR="46D1B20A">
        <w:rPr>
          <w:b w:val="0"/>
          <w:bCs w:val="0"/>
        </w:rPr>
        <w:t>organising</w:t>
      </w:r>
      <w:proofErr w:type="spellEnd"/>
      <w:r w:rsidR="46D1B20A">
        <w:rPr>
          <w:b w:val="0"/>
          <w:bCs w:val="0"/>
        </w:rPr>
        <w:t xml:space="preserve"> the physical environment of the assessment</w:t>
      </w:r>
    </w:p>
    <w:p w:rsidR="46D1B20A" w:rsidP="6054B9BE" w:rsidRDefault="46D1B20A" w14:paraId="0B0CF4DC" w14:textId="3E9CE9B3">
      <w:pPr>
        <w:pStyle w:val="ListParagraph"/>
        <w:numPr>
          <w:ilvl w:val="0"/>
          <w:numId w:val="2"/>
        </w:numPr>
        <w:rPr>
          <w:b w:val="0"/>
          <w:bCs w:val="0"/>
        </w:rPr>
      </w:pPr>
      <w:r w:rsidR="46D1B20A">
        <w:rPr>
          <w:b w:val="0"/>
          <w:bCs w:val="0"/>
        </w:rPr>
        <w:t>Facilitating the use of assistive technology and a computer</w:t>
      </w:r>
    </w:p>
    <w:p w:rsidR="46D1B20A" w:rsidP="6054B9BE" w:rsidRDefault="46D1B20A" w14:paraId="19B59494" w14:textId="3D7AFFEB">
      <w:pPr>
        <w:pStyle w:val="Normal"/>
        <w:ind w:left="0"/>
        <w:rPr>
          <w:b w:val="0"/>
          <w:bCs w:val="0"/>
        </w:rPr>
      </w:pPr>
      <w:r w:rsidR="46D1B20A">
        <w:rPr>
          <w:b w:val="0"/>
          <w:bCs w:val="0"/>
        </w:rPr>
        <w:t xml:space="preserve">Similarly, in some circumstances it may be most </w:t>
      </w:r>
      <w:r w:rsidR="46D1B20A">
        <w:rPr>
          <w:b w:val="0"/>
          <w:bCs w:val="0"/>
        </w:rPr>
        <w:t>appropriate to</w:t>
      </w:r>
      <w:r w:rsidR="46D1B20A">
        <w:rPr>
          <w:b w:val="0"/>
          <w:bCs w:val="0"/>
        </w:rPr>
        <w:t xml:space="preserve"> </w:t>
      </w:r>
      <w:r w:rsidR="46D1B20A">
        <w:rPr>
          <w:b w:val="0"/>
          <w:bCs w:val="0"/>
        </w:rPr>
        <w:t>provide</w:t>
      </w:r>
      <w:r w:rsidR="46D1B20A">
        <w:rPr>
          <w:b w:val="0"/>
          <w:bCs w:val="0"/>
        </w:rPr>
        <w:t xml:space="preserve"> alternative assessment arrangements to prevent disadvantage whilst ensuring there is </w:t>
      </w:r>
      <w:r w:rsidR="46D1B20A">
        <w:rPr>
          <w:b w:val="0"/>
          <w:bCs w:val="0"/>
        </w:rPr>
        <w:t>appropriate academic</w:t>
      </w:r>
      <w:r w:rsidR="46D1B20A">
        <w:rPr>
          <w:b w:val="0"/>
          <w:bCs w:val="0"/>
        </w:rPr>
        <w:t xml:space="preserve"> </w:t>
      </w:r>
      <w:r w:rsidR="3D21D91A">
        <w:rPr>
          <w:b w:val="0"/>
          <w:bCs w:val="0"/>
        </w:rPr>
        <w:t>rigor</w:t>
      </w:r>
      <w:r w:rsidR="46D1B20A">
        <w:rPr>
          <w:b w:val="0"/>
          <w:bCs w:val="0"/>
        </w:rPr>
        <w:t xml:space="preserve">. </w:t>
      </w:r>
    </w:p>
    <w:p w:rsidR="7F9432F9" w:rsidP="6054B9BE" w:rsidRDefault="7F9432F9" w14:paraId="6ECC811A" w14:textId="048867D0">
      <w:pPr>
        <w:pStyle w:val="Normal"/>
        <w:ind w:left="0"/>
        <w:rPr>
          <w:b w:val="0"/>
          <w:bCs w:val="0"/>
        </w:rPr>
      </w:pPr>
      <w:r w:rsidRPr="6054B9BE" w:rsidR="7F9432F9">
        <w:rPr>
          <w:b w:val="1"/>
          <w:bCs w:val="1"/>
        </w:rPr>
        <w:t>Policy</w:t>
      </w:r>
    </w:p>
    <w:p w:rsidR="21369123" w:rsidP="6054B9BE" w:rsidRDefault="21369123" w14:paraId="3053428A" w14:textId="6BAF98D4">
      <w:pPr>
        <w:pStyle w:val="Normal"/>
        <w:ind w:left="0"/>
        <w:rPr>
          <w:b w:val="0"/>
          <w:bCs w:val="0"/>
        </w:rPr>
      </w:pPr>
      <w:r w:rsidR="21369123">
        <w:rPr>
          <w:b w:val="0"/>
          <w:bCs w:val="0"/>
        </w:rPr>
        <w:t>We cannot modify competence requirements or learning outcomes which meet the competence standard's definition, but we aim to adjust taught and assessed aspects of learning, where needed.</w:t>
      </w:r>
    </w:p>
    <w:p w:rsidR="21369123" w:rsidP="6054B9BE" w:rsidRDefault="21369123" w14:paraId="0AB1E1EA" w14:textId="36370299">
      <w:pPr>
        <w:pStyle w:val="Normal"/>
        <w:ind w:left="0"/>
        <w:rPr>
          <w:b w:val="0"/>
          <w:bCs w:val="0"/>
        </w:rPr>
      </w:pPr>
      <w:r w:rsidR="21369123">
        <w:rPr>
          <w:b w:val="0"/>
          <w:bCs w:val="0"/>
        </w:rPr>
        <w:t>Any adjustments made to meet individual learning needs must be reasonable and consider equity and parity.</w:t>
      </w:r>
      <w:r w:rsidR="7F9432F9">
        <w:rPr>
          <w:b w:val="0"/>
          <w:bCs w:val="0"/>
        </w:rPr>
        <w:t xml:space="preserve"> </w:t>
      </w:r>
    </w:p>
    <w:p w:rsidR="2A434E14" w:rsidP="6054B9BE" w:rsidRDefault="2A434E14" w14:paraId="594C515D" w14:textId="30E91EFA">
      <w:pPr>
        <w:pStyle w:val="Normal"/>
        <w:ind w:left="0"/>
        <w:rPr>
          <w:b w:val="0"/>
          <w:bCs w:val="0"/>
        </w:rPr>
      </w:pPr>
      <w:r w:rsidR="2A434E14">
        <w:rPr>
          <w:b w:val="0"/>
          <w:bCs w:val="0"/>
        </w:rPr>
        <w:t xml:space="preserve">In considering the reasonable adjustment, we will make individual decisions based on the students’ particular requirements. </w:t>
      </w:r>
    </w:p>
    <w:p w:rsidR="2A434E14" w:rsidP="6054B9BE" w:rsidRDefault="2A434E14" w14:paraId="4D1B06E7" w14:textId="64E6BB35">
      <w:pPr>
        <w:pStyle w:val="Normal"/>
        <w:ind w:left="0"/>
        <w:rPr>
          <w:b w:val="0"/>
          <w:bCs w:val="0"/>
        </w:rPr>
      </w:pPr>
      <w:r w:rsidR="2A434E14">
        <w:rPr>
          <w:b w:val="0"/>
          <w:bCs w:val="0"/>
        </w:rPr>
        <w:t>There is no current legal definition of what a reasonable adjustment might entail. Any reasonable adjustment will be considered in line with the Equality Challenge Unit guidance:</w:t>
      </w:r>
    </w:p>
    <w:p w:rsidR="2A434E14" w:rsidP="6054B9BE" w:rsidRDefault="2A434E14" w14:paraId="17F53B00" w14:textId="0E3CE506">
      <w:pPr>
        <w:pStyle w:val="Normal"/>
        <w:ind w:left="0"/>
        <w:rPr>
          <w:b w:val="0"/>
          <w:bCs w:val="0"/>
        </w:rPr>
      </w:pPr>
      <w:r w:rsidR="2A434E14">
        <w:rPr>
          <w:b w:val="0"/>
          <w:bCs w:val="0"/>
        </w:rPr>
        <w:t xml:space="preserve">Decisions will be made on a </w:t>
      </w:r>
      <w:r w:rsidR="2AADA5C2">
        <w:rPr>
          <w:b w:val="0"/>
          <w:bCs w:val="0"/>
        </w:rPr>
        <w:t>case-by-case</w:t>
      </w:r>
      <w:r w:rsidR="2A434E14">
        <w:rPr>
          <w:b w:val="0"/>
          <w:bCs w:val="0"/>
        </w:rPr>
        <w:t xml:space="preserve"> basis and should also be informed by:</w:t>
      </w:r>
    </w:p>
    <w:p w:rsidR="2A434E14" w:rsidP="6054B9BE" w:rsidRDefault="2A434E14" w14:paraId="5E2B1B71" w14:textId="3AFA87B8">
      <w:pPr>
        <w:pStyle w:val="ListParagraph"/>
        <w:numPr>
          <w:ilvl w:val="0"/>
          <w:numId w:val="3"/>
        </w:numPr>
        <w:rPr>
          <w:b w:val="0"/>
          <w:bCs w:val="0"/>
        </w:rPr>
      </w:pPr>
      <w:r w:rsidR="2A434E14">
        <w:rPr>
          <w:b w:val="0"/>
          <w:bCs w:val="0"/>
        </w:rPr>
        <w:t>Whether a student is disadvantaged by the current modes of teaching or assessment</w:t>
      </w:r>
    </w:p>
    <w:p w:rsidR="2A434E14" w:rsidP="6054B9BE" w:rsidRDefault="2A434E14" w14:paraId="5CDDA311" w14:textId="201B8256">
      <w:pPr>
        <w:pStyle w:val="ListParagraph"/>
        <w:numPr>
          <w:ilvl w:val="0"/>
          <w:numId w:val="3"/>
        </w:numPr>
        <w:rPr>
          <w:b w:val="0"/>
          <w:bCs w:val="0"/>
        </w:rPr>
      </w:pPr>
      <w:r w:rsidR="2A434E14">
        <w:rPr>
          <w:b w:val="0"/>
          <w:bCs w:val="0"/>
        </w:rPr>
        <w:t>How effective the proposed reasonable adjustments will be in overcoming any disadvantage</w:t>
      </w:r>
    </w:p>
    <w:p w:rsidR="008E5E24" w:rsidP="6054B9BE" w:rsidRDefault="008E5E24" w14:paraId="372A84FD" w14:textId="756AD2CC">
      <w:pPr>
        <w:pStyle w:val="Normal"/>
        <w:ind w:left="0"/>
        <w:rPr>
          <w:b w:val="0"/>
          <w:bCs w:val="0"/>
        </w:rPr>
      </w:pPr>
      <w:r w:rsidR="008E5E24">
        <w:rPr>
          <w:b w:val="0"/>
          <w:bCs w:val="0"/>
        </w:rPr>
        <w:t xml:space="preserve">It is not possible to </w:t>
      </w:r>
      <w:r w:rsidR="07E8DD3E">
        <w:rPr>
          <w:b w:val="0"/>
          <w:bCs w:val="0"/>
        </w:rPr>
        <w:t>identify</w:t>
      </w:r>
      <w:r w:rsidR="008E5E24">
        <w:rPr>
          <w:b w:val="0"/>
          <w:bCs w:val="0"/>
        </w:rPr>
        <w:t xml:space="preserve"> all possible reasonable adjustments that might be </w:t>
      </w:r>
      <w:r w:rsidR="008E5E24">
        <w:rPr>
          <w:b w:val="0"/>
          <w:bCs w:val="0"/>
        </w:rPr>
        <w:t>required</w:t>
      </w:r>
      <w:r w:rsidR="008E5E24">
        <w:rPr>
          <w:b w:val="0"/>
          <w:bCs w:val="0"/>
        </w:rPr>
        <w:t xml:space="preserve"> or suggested. A broad range of general and specific adjustments are set out in the guidance document. These include:</w:t>
      </w:r>
    </w:p>
    <w:p w:rsidR="008E5E24" w:rsidP="6054B9BE" w:rsidRDefault="008E5E24" w14:paraId="2D862BD8" w14:textId="2B620A0E">
      <w:pPr>
        <w:pStyle w:val="ListParagraph"/>
        <w:numPr>
          <w:ilvl w:val="0"/>
          <w:numId w:val="4"/>
        </w:numPr>
        <w:rPr>
          <w:b w:val="0"/>
          <w:bCs w:val="0"/>
        </w:rPr>
      </w:pPr>
      <w:r w:rsidR="008E5E24">
        <w:rPr>
          <w:b w:val="0"/>
          <w:bCs w:val="0"/>
        </w:rPr>
        <w:t>Additional time allowances</w:t>
      </w:r>
    </w:p>
    <w:p w:rsidR="008E5E24" w:rsidP="6054B9BE" w:rsidRDefault="008E5E24" w14:paraId="50455B06" w14:textId="7A5CB9CC">
      <w:pPr>
        <w:pStyle w:val="ListParagraph"/>
        <w:numPr>
          <w:ilvl w:val="0"/>
          <w:numId w:val="4"/>
        </w:numPr>
        <w:rPr>
          <w:b w:val="0"/>
          <w:bCs w:val="0"/>
        </w:rPr>
      </w:pPr>
      <w:r w:rsidR="008E5E24">
        <w:rPr>
          <w:b w:val="0"/>
          <w:bCs w:val="0"/>
        </w:rPr>
        <w:t>Alternative locations for examinations</w:t>
      </w:r>
    </w:p>
    <w:p w:rsidR="008E5E24" w:rsidP="6054B9BE" w:rsidRDefault="008E5E24" w14:paraId="22488C8C" w14:textId="17E7C8E6">
      <w:pPr>
        <w:pStyle w:val="ListParagraph"/>
        <w:numPr>
          <w:ilvl w:val="0"/>
          <w:numId w:val="4"/>
        </w:numPr>
        <w:rPr>
          <w:b w:val="0"/>
          <w:bCs w:val="0"/>
        </w:rPr>
      </w:pPr>
      <w:r w:rsidR="008E5E24">
        <w:rPr>
          <w:b w:val="0"/>
          <w:bCs w:val="0"/>
        </w:rPr>
        <w:t xml:space="preserve">Use of amanuensis </w:t>
      </w:r>
    </w:p>
    <w:p w:rsidR="008E5E24" w:rsidP="6054B9BE" w:rsidRDefault="008E5E24" w14:paraId="0CE8578A" w14:textId="41507E72">
      <w:pPr>
        <w:pStyle w:val="ListParagraph"/>
        <w:numPr>
          <w:ilvl w:val="0"/>
          <w:numId w:val="4"/>
        </w:numPr>
        <w:rPr>
          <w:b w:val="0"/>
          <w:bCs w:val="0"/>
        </w:rPr>
      </w:pPr>
      <w:r w:rsidR="008E5E24">
        <w:rPr>
          <w:b w:val="0"/>
          <w:bCs w:val="0"/>
        </w:rPr>
        <w:t>Computer or assistive technology</w:t>
      </w:r>
    </w:p>
    <w:p w:rsidR="008E5E24" w:rsidP="6054B9BE" w:rsidRDefault="008E5E24" w14:paraId="3E77A622" w14:textId="11A66435">
      <w:pPr>
        <w:pStyle w:val="ListParagraph"/>
        <w:numPr>
          <w:ilvl w:val="0"/>
          <w:numId w:val="4"/>
        </w:numPr>
        <w:rPr>
          <w:b w:val="0"/>
          <w:bCs w:val="0"/>
        </w:rPr>
      </w:pPr>
      <w:r w:rsidR="008E5E24">
        <w:rPr>
          <w:b w:val="0"/>
          <w:bCs w:val="0"/>
        </w:rPr>
        <w:t xml:space="preserve">Provision of material in </w:t>
      </w:r>
      <w:r w:rsidR="05D4C637">
        <w:rPr>
          <w:b w:val="0"/>
          <w:bCs w:val="0"/>
        </w:rPr>
        <w:t>Braille</w:t>
      </w:r>
      <w:r w:rsidR="008E5E24">
        <w:rPr>
          <w:b w:val="0"/>
          <w:bCs w:val="0"/>
        </w:rPr>
        <w:t>, large print etc.</w:t>
      </w:r>
    </w:p>
    <w:p w:rsidR="008E5E24" w:rsidP="6054B9BE" w:rsidRDefault="008E5E24" w14:paraId="79C9C02C" w14:textId="67F5D47B">
      <w:pPr>
        <w:pStyle w:val="Normal"/>
        <w:ind w:left="0"/>
        <w:rPr>
          <w:b w:val="0"/>
          <w:bCs w:val="0"/>
        </w:rPr>
      </w:pPr>
      <w:r w:rsidR="008E5E24">
        <w:rPr>
          <w:b w:val="0"/>
          <w:bCs w:val="0"/>
        </w:rPr>
        <w:t>In exceptional circumstances, where existing teaching and assessment options, even with reasonable adjustments, continue to present barriers to disabled students, the need to provide alternative assessment arrangement should be considered.</w:t>
      </w:r>
    </w:p>
    <w:p w:rsidR="008E5E24" w:rsidP="6054B9BE" w:rsidRDefault="008E5E24" w14:paraId="545C6796" w14:textId="6103D818">
      <w:pPr>
        <w:pStyle w:val="Normal"/>
        <w:ind w:left="0"/>
        <w:rPr>
          <w:b w:val="0"/>
          <w:bCs w:val="0"/>
        </w:rPr>
      </w:pPr>
      <w:r w:rsidR="008E5E24">
        <w:rPr>
          <w:b w:val="0"/>
          <w:bCs w:val="0"/>
        </w:rPr>
        <w:t>These may be:</w:t>
      </w:r>
    </w:p>
    <w:p w:rsidR="008E5E24" w:rsidP="6054B9BE" w:rsidRDefault="008E5E24" w14:paraId="74A3720D" w14:textId="52568B15">
      <w:pPr>
        <w:pStyle w:val="ListParagraph"/>
        <w:numPr>
          <w:ilvl w:val="0"/>
          <w:numId w:val="5"/>
        </w:numPr>
        <w:rPr>
          <w:b w:val="0"/>
          <w:bCs w:val="0"/>
        </w:rPr>
      </w:pPr>
      <w:r w:rsidR="008E5E24">
        <w:rPr>
          <w:b w:val="0"/>
          <w:bCs w:val="0"/>
        </w:rPr>
        <w:t>A written rather than oral presentation, or vice versa</w:t>
      </w:r>
    </w:p>
    <w:p w:rsidR="008E5E24" w:rsidP="6054B9BE" w:rsidRDefault="008E5E24" w14:paraId="347A90E0" w14:textId="054555DC">
      <w:pPr>
        <w:pStyle w:val="ListParagraph"/>
        <w:numPr>
          <w:ilvl w:val="0"/>
          <w:numId w:val="5"/>
        </w:numPr>
        <w:rPr>
          <w:b w:val="0"/>
          <w:bCs w:val="0"/>
        </w:rPr>
      </w:pPr>
      <w:r w:rsidR="008E5E24">
        <w:rPr>
          <w:b w:val="0"/>
          <w:bCs w:val="0"/>
        </w:rPr>
        <w:t>A poster or a video as an alternative to written report</w:t>
      </w:r>
    </w:p>
    <w:p w:rsidR="008E5E24" w:rsidP="6054B9BE" w:rsidRDefault="008E5E24" w14:paraId="163C9C7F" w14:textId="7295C903">
      <w:pPr>
        <w:pStyle w:val="Normal"/>
        <w:ind w:left="0"/>
        <w:rPr>
          <w:b w:val="0"/>
          <w:bCs w:val="0"/>
        </w:rPr>
      </w:pPr>
      <w:r w:rsidR="008E5E24">
        <w:rPr>
          <w:b w:val="0"/>
          <w:bCs w:val="0"/>
        </w:rPr>
        <w:t>These should be requests by the student and discussed initially with the College Services Team, who should consult with Disability and Dyslexia Support.</w:t>
      </w:r>
    </w:p>
    <w:p w:rsidR="45076E7D" w:rsidP="6054B9BE" w:rsidRDefault="45076E7D" w14:paraId="1F7CFC73" w14:textId="0291B787">
      <w:pPr>
        <w:pStyle w:val="Normal"/>
        <w:ind w:left="0"/>
        <w:rPr>
          <w:b w:val="0"/>
          <w:bCs w:val="0"/>
        </w:rPr>
      </w:pPr>
      <w:r w:rsidRPr="6054B9BE" w:rsidR="45076E7D">
        <w:rPr>
          <w:b w:val="1"/>
          <w:bCs w:val="1"/>
        </w:rPr>
        <w:t>Roles and Responsibilities</w:t>
      </w:r>
    </w:p>
    <w:p w:rsidR="45076E7D" w:rsidP="6054B9BE" w:rsidRDefault="45076E7D" w14:paraId="37298F16" w14:textId="7E362C23">
      <w:pPr>
        <w:pStyle w:val="Normal"/>
        <w:ind w:left="0"/>
        <w:rPr>
          <w:b w:val="0"/>
          <w:bCs w:val="0"/>
        </w:rPr>
      </w:pPr>
      <w:r w:rsidR="45076E7D">
        <w:rPr>
          <w:b w:val="0"/>
          <w:bCs w:val="0"/>
        </w:rPr>
        <w:t>Requests for alternative assessment arrangements will normally be agreed between the student, College Services, Disability and Dyslexia Support</w:t>
      </w:r>
      <w:r w:rsidR="41AC1B8D">
        <w:rPr>
          <w:b w:val="0"/>
          <w:bCs w:val="0"/>
        </w:rPr>
        <w:t xml:space="preserve">, and the module tutor, where appropriate, after liaising with the module leader concerning learning outcomes. </w:t>
      </w:r>
    </w:p>
    <w:p w:rsidR="41AC1B8D" w:rsidP="6054B9BE" w:rsidRDefault="41AC1B8D" w14:paraId="0ED221F0" w14:textId="464661B9">
      <w:pPr>
        <w:pStyle w:val="Normal"/>
        <w:ind w:left="0"/>
        <w:rPr>
          <w:b w:val="0"/>
          <w:bCs w:val="0"/>
        </w:rPr>
      </w:pPr>
      <w:r w:rsidRPr="6054B9BE" w:rsidR="41AC1B8D">
        <w:rPr>
          <w:b w:val="1"/>
          <w:bCs w:val="1"/>
        </w:rPr>
        <w:t>Related Policies and Procedures</w:t>
      </w:r>
    </w:p>
    <w:p w:rsidR="41AC1B8D" w:rsidP="6054B9BE" w:rsidRDefault="41AC1B8D" w14:paraId="44DA4F1F" w14:textId="269067D0">
      <w:pPr>
        <w:pStyle w:val="Normal"/>
        <w:ind w:left="0"/>
        <w:rPr>
          <w:b w:val="1"/>
          <w:bCs w:val="1"/>
        </w:rPr>
      </w:pPr>
      <w:r w:rsidR="41AC1B8D">
        <w:rPr>
          <w:b w:val="0"/>
          <w:bCs w:val="0"/>
        </w:rPr>
        <w:t xml:space="preserve">The </w:t>
      </w:r>
      <w:proofErr w:type="spellStart"/>
      <w:r w:rsidR="41AC1B8D">
        <w:rPr>
          <w:b w:val="0"/>
          <w:bCs w:val="0"/>
        </w:rPr>
        <w:t>polisy</w:t>
      </w:r>
      <w:proofErr w:type="spellEnd"/>
      <w:r w:rsidR="41AC1B8D">
        <w:rPr>
          <w:b w:val="0"/>
          <w:bCs w:val="0"/>
        </w:rPr>
        <w:t xml:space="preserve"> should be read alongside the ‘Procedure for consideration of an application for reasonable adjustments as shown in Annex C:1 to this policy.</w:t>
      </w:r>
    </w:p>
    <w:p w:rsidR="41AC1B8D" w:rsidP="6054B9BE" w:rsidRDefault="41AC1B8D" w14:paraId="374C66C3" w14:textId="5D172A72">
      <w:pPr>
        <w:pStyle w:val="Normal"/>
        <w:ind w:left="0"/>
        <w:rPr>
          <w:b w:val="1"/>
          <w:bCs w:val="1"/>
        </w:rPr>
      </w:pPr>
      <w:r w:rsidRPr="6054B9BE" w:rsidR="41AC1B8D">
        <w:rPr>
          <w:b w:val="1"/>
          <w:bCs w:val="1"/>
        </w:rPr>
        <w:t>Annexes</w:t>
      </w:r>
    </w:p>
    <w:tbl>
      <w:tblPr>
        <w:tblStyle w:val="TableGrid"/>
        <w:tblW w:w="0" w:type="auto"/>
        <w:tblLayout w:type="fixed"/>
        <w:tblLook w:val="06A0" w:firstRow="1" w:lastRow="0" w:firstColumn="1" w:lastColumn="0" w:noHBand="1" w:noVBand="1"/>
      </w:tblPr>
      <w:tblGrid>
        <w:gridCol w:w="4680"/>
        <w:gridCol w:w="4680"/>
      </w:tblGrid>
      <w:tr w:rsidR="6054B9BE" w:rsidTr="6054B9BE" w14:paraId="6606E7BB">
        <w:trPr>
          <w:trHeight w:val="300"/>
        </w:trPr>
        <w:tc>
          <w:tcPr>
            <w:tcW w:w="4680" w:type="dxa"/>
            <w:tcMar/>
          </w:tcPr>
          <w:p w:rsidR="41AC1B8D" w:rsidP="6054B9BE" w:rsidRDefault="41AC1B8D" w14:paraId="40C2D948" w14:textId="1A7DA2E3">
            <w:pPr>
              <w:pStyle w:val="Normal"/>
              <w:rPr>
                <w:b w:val="1"/>
                <w:bCs w:val="1"/>
              </w:rPr>
            </w:pPr>
            <w:r w:rsidRPr="6054B9BE" w:rsidR="41AC1B8D">
              <w:rPr>
                <w:b w:val="1"/>
                <w:bCs w:val="1"/>
              </w:rPr>
              <w:t>Document Name</w:t>
            </w:r>
          </w:p>
        </w:tc>
        <w:tc>
          <w:tcPr>
            <w:tcW w:w="4680" w:type="dxa"/>
            <w:tcMar/>
          </w:tcPr>
          <w:p w:rsidR="41AC1B8D" w:rsidP="6054B9BE" w:rsidRDefault="41AC1B8D" w14:paraId="28351C1A" w14:textId="1AA1EC88">
            <w:pPr>
              <w:pStyle w:val="Normal"/>
              <w:rPr>
                <w:b w:val="1"/>
                <w:bCs w:val="1"/>
              </w:rPr>
            </w:pPr>
            <w:r w:rsidRPr="6054B9BE" w:rsidR="41AC1B8D">
              <w:rPr>
                <w:b w:val="1"/>
                <w:bCs w:val="1"/>
              </w:rPr>
              <w:t>KUIC Reasonable Adjustments Policy</w:t>
            </w:r>
          </w:p>
        </w:tc>
      </w:tr>
      <w:tr w:rsidR="6054B9BE" w:rsidTr="6054B9BE" w14:paraId="48FDBF85">
        <w:trPr>
          <w:trHeight w:val="300"/>
        </w:trPr>
        <w:tc>
          <w:tcPr>
            <w:tcW w:w="4680" w:type="dxa"/>
            <w:tcMar/>
          </w:tcPr>
          <w:p w:rsidR="41AC1B8D" w:rsidP="6054B9BE" w:rsidRDefault="41AC1B8D" w14:paraId="0D09C490" w14:textId="1F410B92">
            <w:pPr>
              <w:pStyle w:val="Normal"/>
              <w:rPr>
                <w:b w:val="1"/>
                <w:bCs w:val="1"/>
              </w:rPr>
            </w:pPr>
            <w:r w:rsidRPr="6054B9BE" w:rsidR="41AC1B8D">
              <w:rPr>
                <w:b w:val="1"/>
                <w:bCs w:val="1"/>
              </w:rPr>
              <w:t>Owner</w:t>
            </w:r>
          </w:p>
        </w:tc>
        <w:tc>
          <w:tcPr>
            <w:tcW w:w="4680" w:type="dxa"/>
            <w:tcMar/>
          </w:tcPr>
          <w:p w:rsidR="41AC1B8D" w:rsidP="6054B9BE" w:rsidRDefault="41AC1B8D" w14:paraId="67DD6FEE" w14:textId="09D54B63">
            <w:pPr>
              <w:pStyle w:val="Normal"/>
              <w:rPr>
                <w:b w:val="1"/>
                <w:bCs w:val="1"/>
              </w:rPr>
            </w:pPr>
            <w:r w:rsidRPr="6054B9BE" w:rsidR="41AC1B8D">
              <w:rPr>
                <w:b w:val="1"/>
                <w:bCs w:val="1"/>
              </w:rPr>
              <w:t>Sarah Hammond, College Services Manager</w:t>
            </w:r>
          </w:p>
        </w:tc>
      </w:tr>
      <w:tr w:rsidR="6054B9BE" w:rsidTr="6054B9BE" w14:paraId="059D0031">
        <w:trPr>
          <w:trHeight w:val="300"/>
        </w:trPr>
        <w:tc>
          <w:tcPr>
            <w:tcW w:w="4680" w:type="dxa"/>
            <w:tcMar/>
          </w:tcPr>
          <w:p w:rsidR="41AC1B8D" w:rsidP="6054B9BE" w:rsidRDefault="41AC1B8D" w14:paraId="22834CC1" w14:textId="30D7BFCA">
            <w:pPr>
              <w:pStyle w:val="Normal"/>
              <w:rPr>
                <w:b w:val="1"/>
                <w:bCs w:val="1"/>
              </w:rPr>
            </w:pPr>
            <w:r w:rsidRPr="6054B9BE" w:rsidR="41AC1B8D">
              <w:rPr>
                <w:b w:val="1"/>
                <w:bCs w:val="1"/>
              </w:rPr>
              <w:t xml:space="preserve">Version Number </w:t>
            </w:r>
          </w:p>
        </w:tc>
        <w:tc>
          <w:tcPr>
            <w:tcW w:w="4680" w:type="dxa"/>
            <w:tcMar/>
          </w:tcPr>
          <w:p w:rsidR="41AC1B8D" w:rsidP="6054B9BE" w:rsidRDefault="41AC1B8D" w14:paraId="04AE2EA2" w14:textId="564D7040">
            <w:pPr>
              <w:pStyle w:val="Normal"/>
              <w:rPr>
                <w:b w:val="1"/>
                <w:bCs w:val="1"/>
              </w:rPr>
            </w:pPr>
            <w:r w:rsidRPr="6054B9BE" w:rsidR="41AC1B8D">
              <w:rPr>
                <w:b w:val="1"/>
                <w:bCs w:val="1"/>
              </w:rPr>
              <w:t>1.0</w:t>
            </w:r>
          </w:p>
        </w:tc>
      </w:tr>
      <w:tr w:rsidR="6054B9BE" w:rsidTr="6054B9BE" w14:paraId="7BA4607F">
        <w:trPr>
          <w:trHeight w:val="300"/>
        </w:trPr>
        <w:tc>
          <w:tcPr>
            <w:tcW w:w="4680" w:type="dxa"/>
            <w:tcMar/>
          </w:tcPr>
          <w:p w:rsidR="41AC1B8D" w:rsidP="6054B9BE" w:rsidRDefault="41AC1B8D" w14:paraId="015A7B61" w14:textId="34B9A369">
            <w:pPr>
              <w:pStyle w:val="Normal"/>
              <w:rPr>
                <w:b w:val="1"/>
                <w:bCs w:val="1"/>
              </w:rPr>
            </w:pPr>
            <w:r w:rsidRPr="6054B9BE" w:rsidR="41AC1B8D">
              <w:rPr>
                <w:b w:val="1"/>
                <w:bCs w:val="1"/>
              </w:rPr>
              <w:t>Approval Date</w:t>
            </w:r>
          </w:p>
        </w:tc>
        <w:tc>
          <w:tcPr>
            <w:tcW w:w="4680" w:type="dxa"/>
            <w:tcMar/>
          </w:tcPr>
          <w:p w:rsidR="6054B9BE" w:rsidP="6054B9BE" w:rsidRDefault="6054B9BE" w14:paraId="2C19AD72" w14:textId="56655B62">
            <w:pPr>
              <w:pStyle w:val="Normal"/>
              <w:rPr>
                <w:b w:val="1"/>
                <w:bCs w:val="1"/>
              </w:rPr>
            </w:pPr>
          </w:p>
        </w:tc>
      </w:tr>
      <w:tr w:rsidR="6054B9BE" w:rsidTr="6054B9BE" w14:paraId="4EE8DBE0">
        <w:trPr>
          <w:trHeight w:val="300"/>
        </w:trPr>
        <w:tc>
          <w:tcPr>
            <w:tcW w:w="4680" w:type="dxa"/>
            <w:tcMar/>
          </w:tcPr>
          <w:p w:rsidR="41AC1B8D" w:rsidP="6054B9BE" w:rsidRDefault="41AC1B8D" w14:paraId="59D213E3" w14:textId="24729635">
            <w:pPr>
              <w:pStyle w:val="Normal"/>
              <w:rPr>
                <w:b w:val="1"/>
                <w:bCs w:val="1"/>
              </w:rPr>
            </w:pPr>
            <w:r w:rsidRPr="6054B9BE" w:rsidR="41AC1B8D">
              <w:rPr>
                <w:b w:val="1"/>
                <w:bCs w:val="1"/>
              </w:rPr>
              <w:t>Date of Commencement</w:t>
            </w:r>
          </w:p>
        </w:tc>
        <w:tc>
          <w:tcPr>
            <w:tcW w:w="4680" w:type="dxa"/>
            <w:tcMar/>
          </w:tcPr>
          <w:p w:rsidR="6054B9BE" w:rsidP="6054B9BE" w:rsidRDefault="6054B9BE" w14:paraId="76331AE9" w14:textId="56655B62">
            <w:pPr>
              <w:pStyle w:val="Normal"/>
              <w:rPr>
                <w:b w:val="1"/>
                <w:bCs w:val="1"/>
              </w:rPr>
            </w:pPr>
          </w:p>
        </w:tc>
      </w:tr>
      <w:tr w:rsidR="6054B9BE" w:rsidTr="6054B9BE" w14:paraId="141D217F">
        <w:trPr>
          <w:trHeight w:val="300"/>
        </w:trPr>
        <w:tc>
          <w:tcPr>
            <w:tcW w:w="4680" w:type="dxa"/>
            <w:tcMar/>
          </w:tcPr>
          <w:p w:rsidR="41AC1B8D" w:rsidP="6054B9BE" w:rsidRDefault="41AC1B8D" w14:paraId="4BE9E09B" w14:textId="45AA16A3">
            <w:pPr>
              <w:pStyle w:val="Normal"/>
              <w:rPr>
                <w:b w:val="1"/>
                <w:bCs w:val="1"/>
              </w:rPr>
            </w:pPr>
            <w:r w:rsidRPr="6054B9BE" w:rsidR="41AC1B8D">
              <w:rPr>
                <w:b w:val="1"/>
                <w:bCs w:val="1"/>
              </w:rPr>
              <w:t>Date of Last Review</w:t>
            </w:r>
          </w:p>
        </w:tc>
        <w:tc>
          <w:tcPr>
            <w:tcW w:w="4680" w:type="dxa"/>
            <w:tcMar/>
          </w:tcPr>
          <w:p w:rsidR="6054B9BE" w:rsidP="6054B9BE" w:rsidRDefault="6054B9BE" w14:paraId="695C4180" w14:textId="56655B62">
            <w:pPr>
              <w:pStyle w:val="Normal"/>
              <w:rPr>
                <w:b w:val="1"/>
                <w:bCs w:val="1"/>
              </w:rPr>
            </w:pPr>
          </w:p>
        </w:tc>
      </w:tr>
      <w:tr w:rsidR="6054B9BE" w:rsidTr="6054B9BE" w14:paraId="16B21C2A">
        <w:trPr>
          <w:trHeight w:val="300"/>
        </w:trPr>
        <w:tc>
          <w:tcPr>
            <w:tcW w:w="4680" w:type="dxa"/>
            <w:tcMar/>
          </w:tcPr>
          <w:p w:rsidR="41AC1B8D" w:rsidP="6054B9BE" w:rsidRDefault="41AC1B8D" w14:paraId="4B72827D" w14:textId="4CF62471">
            <w:pPr>
              <w:pStyle w:val="Normal"/>
              <w:rPr>
                <w:b w:val="1"/>
                <w:bCs w:val="1"/>
              </w:rPr>
            </w:pPr>
            <w:r w:rsidRPr="6054B9BE" w:rsidR="41AC1B8D">
              <w:rPr>
                <w:b w:val="1"/>
                <w:bCs w:val="1"/>
              </w:rPr>
              <w:t>Date of Next Review</w:t>
            </w:r>
          </w:p>
        </w:tc>
        <w:tc>
          <w:tcPr>
            <w:tcW w:w="4680" w:type="dxa"/>
            <w:tcMar/>
          </w:tcPr>
          <w:p w:rsidR="6054B9BE" w:rsidP="6054B9BE" w:rsidRDefault="6054B9BE" w14:paraId="223E0669" w14:textId="56655B62">
            <w:pPr>
              <w:pStyle w:val="Normal"/>
              <w:rPr>
                <w:b w:val="1"/>
                <w:bCs w:val="1"/>
              </w:rPr>
            </w:pPr>
          </w:p>
        </w:tc>
      </w:tr>
      <w:tr w:rsidR="6054B9BE" w:rsidTr="6054B9BE" w14:paraId="01976378">
        <w:trPr>
          <w:trHeight w:val="300"/>
        </w:trPr>
        <w:tc>
          <w:tcPr>
            <w:tcW w:w="4680" w:type="dxa"/>
            <w:tcMar/>
          </w:tcPr>
          <w:p w:rsidR="41AC1B8D" w:rsidP="6054B9BE" w:rsidRDefault="41AC1B8D" w14:paraId="058CA232" w14:textId="1C187F37">
            <w:pPr>
              <w:pStyle w:val="Normal"/>
              <w:rPr>
                <w:b w:val="1"/>
                <w:bCs w:val="1"/>
              </w:rPr>
            </w:pPr>
            <w:r w:rsidRPr="6054B9BE" w:rsidR="41AC1B8D">
              <w:rPr>
                <w:b w:val="1"/>
                <w:bCs w:val="1"/>
              </w:rPr>
              <w:t>Related Documents</w:t>
            </w:r>
          </w:p>
        </w:tc>
        <w:tc>
          <w:tcPr>
            <w:tcW w:w="4680" w:type="dxa"/>
            <w:tcMar/>
          </w:tcPr>
          <w:p w:rsidR="6054B9BE" w:rsidP="6054B9BE" w:rsidRDefault="6054B9BE" w14:paraId="43F7DCBA" w14:textId="57560A22">
            <w:pPr>
              <w:pStyle w:val="Normal"/>
              <w:rPr>
                <w:b w:val="1"/>
                <w:bCs w:val="1"/>
              </w:rPr>
            </w:pPr>
          </w:p>
        </w:tc>
      </w:tr>
    </w:tbl>
    <w:p w:rsidR="6054B9BE" w:rsidP="6054B9BE" w:rsidRDefault="6054B9BE" w14:paraId="5F8A2CE4" w14:textId="429EE936">
      <w:pPr>
        <w:pStyle w:val="Normal"/>
        <w:ind w:left="0"/>
        <w:rPr>
          <w:b w:val="1"/>
          <w:bCs w:val="1"/>
        </w:rPr>
      </w:pPr>
    </w:p>
    <w:p w:rsidR="41AC1B8D" w:rsidP="6054B9BE" w:rsidRDefault="41AC1B8D" w14:paraId="77BA3FA1" w14:textId="07464DB5">
      <w:pPr>
        <w:pStyle w:val="Normal"/>
        <w:ind w:left="0"/>
        <w:rPr>
          <w:b w:val="1"/>
          <w:bCs w:val="1"/>
        </w:rPr>
      </w:pPr>
      <w:r w:rsidRPr="6054B9BE" w:rsidR="41AC1B8D">
        <w:rPr>
          <w:b w:val="1"/>
          <w:bCs w:val="1"/>
        </w:rPr>
        <w:t>Annex C:</w:t>
      </w:r>
    </w:p>
    <w:p w:rsidR="41AC1B8D" w:rsidP="6054B9BE" w:rsidRDefault="41AC1B8D" w14:paraId="22DC7D14" w14:textId="164B3DC5">
      <w:p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Procedure for the consideration of and application for reasonable</w:t>
      </w:r>
      <w:r w:rsidRPr="6054B9BE" w:rsidR="5CED3DB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adjustments</w:t>
      </w:r>
      <w:r w:rsidRPr="6054B9BE" w:rsidR="642E4AD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t>
      </w:r>
    </w:p>
    <w:p w:rsidR="41AC1B8D" w:rsidP="6054B9BE" w:rsidRDefault="41AC1B8D" w14:paraId="1ED8F42C" w14:textId="4AA5F671">
      <w:pPr>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pPr>
      <w:r w:rsidRPr="6054B9BE" w:rsidR="41AC1B8D">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Outline</w:t>
      </w:r>
    </w:p>
    <w:p w:rsidR="41AC1B8D" w:rsidP="6054B9BE" w:rsidRDefault="41AC1B8D" w14:paraId="7BECA166" w14:textId="67AE6F3C">
      <w:p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Consideration of the learning and assessment requirements of disabled students is integral to inclusive</w:t>
      </w:r>
      <w:r w:rsidRPr="6054B9BE" w:rsidR="466E4107">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assessment. As identified in the Equality Act 2010, ‘a person has a disability if they have a physical or</w:t>
      </w:r>
      <w:r w:rsidRPr="6054B9BE" w:rsidR="6353D41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mental impairment, and the impairment has a substantial and long-term adverse effect on his or her</w:t>
      </w:r>
      <w:r w:rsidRPr="6054B9BE" w:rsidR="0F2A27D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ability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to</w:t>
      </w:r>
      <w:r w:rsidRPr="6054B9BE" w:rsidR="6D1AA9E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carry</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out normal day-to-day activities’.</w:t>
      </w:r>
    </w:p>
    <w:p w:rsidR="41AC1B8D" w:rsidP="6054B9BE" w:rsidRDefault="41AC1B8D" w14:paraId="4EC347F6" w14:textId="43C84DC1">
      <w:p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It is the student's responsibility to ensure that the University is aware of their disability and to</w:t>
      </w:r>
      <w:r w:rsidRPr="6054B9BE" w:rsidR="57D33B4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apply</w:t>
      </w:r>
      <w:r w:rsidRPr="6054B9BE" w:rsidR="32DF307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for</w:t>
      </w:r>
      <w:r w:rsidRPr="6054B9BE" w:rsidR="2D842D46">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any variation</w:t>
      </w:r>
      <w:r w:rsidRPr="6054B9BE" w:rsidR="0629BD2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in assessment</w:t>
      </w:r>
      <w:r w:rsidRPr="6054B9BE" w:rsidR="7E84EA42">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conditions within</w:t>
      </w:r>
      <w:r w:rsidRPr="6054B9BE" w:rsidR="13F71A7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deadlines established</w:t>
      </w:r>
      <w:r w:rsidRPr="6054B9BE" w:rsidR="6A00B916">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for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this</w:t>
      </w:r>
      <w:r w:rsidRPr="6054B9BE" w:rsidR="6ECB2667">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purpose</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t>
      </w:r>
    </w:p>
    <w:p w:rsidR="41AC1B8D" w:rsidP="6054B9BE" w:rsidRDefault="41AC1B8D" w14:paraId="02C94262" w14:textId="4EEFB515">
      <w:p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It is the University's responsibility to give students opportunities, at various stages of their </w:t>
      </w:r>
      <w:r w:rsidRPr="6054B9BE" w:rsidR="42A646B7">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course, to</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disclose</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disability,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dyslexia</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or a long-term medical condition and to ensure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appropriate</w:t>
      </w:r>
      <w:r w:rsidRPr="6054B9BE" w:rsidR="51AD08C8">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confidentiality</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t>
      </w:r>
    </w:p>
    <w:p w:rsidR="41AC1B8D" w:rsidP="6054B9BE" w:rsidRDefault="41AC1B8D" w14:paraId="0F40E2A0" w14:textId="4945EA33">
      <w:pPr>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pPr>
      <w:r w:rsidRPr="6054B9BE" w:rsidR="41AC1B8D">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Disclosure</w:t>
      </w:r>
    </w:p>
    <w:p w:rsidR="41AC1B8D" w:rsidP="6054B9BE" w:rsidRDefault="41AC1B8D" w14:paraId="49E27493" w14:textId="44BCF288">
      <w:p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Any request must be supported</w:t>
      </w:r>
      <w:r w:rsidRPr="6054B9BE" w:rsidR="48E8A407">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by acceptable medical or other evidence of disability or long-term</w:t>
      </w:r>
      <w:r w:rsidRPr="6054B9BE" w:rsidR="0ED00E9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medical</w:t>
      </w:r>
      <w:r w:rsidRPr="6054B9BE" w:rsidR="27A45D4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condition. Retrospective applications for adjustments cannot be</w:t>
      </w:r>
      <w:r w:rsidRPr="6054B9BE" w:rsidR="04F45C52">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made automatically. For example, a student who is assessed as having an </w:t>
      </w:r>
      <w:proofErr w:type="spellStart"/>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SpLD</w:t>
      </w:r>
      <w:proofErr w:type="spellEnd"/>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is likely to </w:t>
      </w:r>
      <w:r w:rsidRPr="6054B9BE" w:rsidR="45D2755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be</w:t>
      </w:r>
      <w:r w:rsidRPr="6054B9BE" w:rsidR="1994509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roofErr w:type="spellStart"/>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ntitled</w:t>
      </w:r>
      <w:proofErr w:type="spellEnd"/>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to</w:t>
      </w:r>
      <w:r w:rsidRPr="6054B9BE" w:rsidR="4ABDE5D6">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extra time from the point of diagnosis.</w:t>
      </w:r>
    </w:p>
    <w:p w:rsidR="41AC1B8D" w:rsidP="6054B9BE" w:rsidRDefault="41AC1B8D" w14:paraId="2EDBAC03" w14:textId="088B6C10">
      <w:p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There are circumstances where it is appropriate to </w:t>
      </w:r>
      <w:r w:rsidRPr="6054B9BE" w:rsidR="7D114C76">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take note of</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a new diagnosis </w:t>
      </w:r>
      <w:r w:rsidRPr="6054B9BE" w:rsidR="466756B9">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considering</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the most</w:t>
      </w:r>
      <w:r w:rsidRPr="6054B9BE" w:rsidR="64E5507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recent modules, particularly where a student has not successfully progressed. </w:t>
      </w:r>
      <w:r w:rsidRPr="6054B9BE" w:rsidR="0652476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Therefore,</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on some</w:t>
      </w:r>
      <w:r w:rsidRPr="6054B9BE" w:rsidR="0814FF7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occasions, the appeals process may take the recently diagnosed disability into account and allow an</w:t>
      </w:r>
      <w:r w:rsidRPr="6054B9BE" w:rsidR="5A37081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alternative</w:t>
      </w:r>
      <w:r w:rsidRPr="6054B9BE" w:rsidR="6E39CEB2">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method of assessment to be</w:t>
      </w:r>
      <w:r w:rsidRPr="6054B9BE" w:rsidR="35A6296E">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taken, or a further </w:t>
      </w:r>
      <w:proofErr w:type="spellStart"/>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resit</w:t>
      </w:r>
      <w:proofErr w:type="spellEnd"/>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opportunity</w:t>
      </w:r>
      <w:r w:rsidRPr="6054B9BE" w:rsidR="196E435F">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to be offered.</w:t>
      </w:r>
    </w:p>
    <w:p w:rsidR="41AC1B8D" w:rsidP="6054B9BE" w:rsidRDefault="41AC1B8D" w14:paraId="0AC1901B" w14:textId="7E3D00AC">
      <w:p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Where students are diagnosed with a specific learning difficulty part way through their course they</w:t>
      </w:r>
      <w:r w:rsidRPr="6054B9BE" w:rsidR="0EECD8FF">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may,</w:t>
      </w:r>
      <w:r w:rsidRPr="6054B9BE" w:rsidR="2A02EA8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in certain limited circumstances, apply to</w:t>
      </w:r>
      <w:r w:rsidRPr="6054B9BE" w:rsidR="1A0A394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take an alternative assessment where it</w:t>
      </w:r>
      <w:r w:rsidRPr="6054B9BE" w:rsidR="7C68CBF2">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is adjudged</w:t>
      </w:r>
      <w:r w:rsidRPr="6054B9BE" w:rsidR="1806FBD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that the original assessment may have unfavourably disadvantaged them </w:t>
      </w:r>
      <w:r w:rsidRPr="6054B9BE" w:rsidR="23BC72C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because of</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their</w:t>
      </w:r>
      <w:r w:rsidRPr="6054B9BE" w:rsidR="0B931F6A">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disability. This would normally only apply to modules affecting the student’s ability to proceed, </w:t>
      </w:r>
      <w:r w:rsidRPr="6054B9BE" w:rsidR="60652CD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and where</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a student has already begun to engage with Disability and Dyslexia Support to establish that</w:t>
      </w:r>
      <w:r w:rsidRPr="6054B9BE" w:rsidR="2ADF676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r w:rsidRPr="6054B9BE" w:rsidR="41AC1B8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difficulties are relating to a specific learning difficulty</w:t>
      </w:r>
      <w:r w:rsidRPr="6054B9BE" w:rsidR="40590117">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
    <w:p w:rsidR="6054B9BE" w:rsidP="6054B9BE" w:rsidRDefault="6054B9BE" w14:paraId="57170296" w14:textId="18B8F6E3">
      <w:pPr>
        <w:pStyle w:val="Normal"/>
        <w:ind w:left="0"/>
        <w:rPr>
          <w:rFonts w:ascii="Calibri" w:hAnsi="Calibri" w:eastAsia="Calibri" w:cs="Calibri" w:asciiTheme="minorAscii" w:hAnsiTheme="minorAscii" w:eastAsiaTheme="minorAscii" w:cstheme="minorAscii"/>
          <w:b w:val="1"/>
          <w:bCs w:val="1"/>
          <w:color w:val="auto"/>
          <w:sz w:val="22"/>
          <w:szCs w:val="22"/>
        </w:rPr>
      </w:pPr>
    </w:p>
    <w:sectPr w:rsidR="008D53EF">
      <w:footerReference w:type="even" r:id="rId6"/>
      <w:footerReference w:type="default" r:id="rId7"/>
      <w:footerReference w:type="firs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0333" w:rsidP="00C20333" w:rsidRDefault="00C20333" w14:paraId="4865B642" w14:textId="77777777">
      <w:pPr>
        <w:spacing w:after="0" w:line="240" w:lineRule="auto"/>
      </w:pPr>
      <w:r>
        <w:separator/>
      </w:r>
    </w:p>
  </w:endnote>
  <w:endnote w:type="continuationSeparator" w:id="0">
    <w:p w:rsidR="00C20333" w:rsidP="00C20333" w:rsidRDefault="00C20333" w14:paraId="55D1CC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20333" w:rsidRDefault="00C20333" w14:paraId="60DC07AB" w14:textId="3D6F7DA9">
    <w:pPr>
      <w:pStyle w:val="Footer"/>
    </w:pPr>
    <w:r>
      <w:rPr>
        <w:noProof/>
      </w:rPr>
      <mc:AlternateContent>
        <mc:Choice Requires="wps">
          <w:drawing>
            <wp:anchor distT="0" distB="0" distL="0" distR="0" simplePos="0" relativeHeight="251659264" behindDoc="0" locked="0" layoutInCell="1" allowOverlap="1" wp14:anchorId="79348C44" wp14:editId="5E991216">
              <wp:simplePos x="635" y="635"/>
              <wp:positionH relativeFrom="page">
                <wp:align>left</wp:align>
              </wp:positionH>
              <wp:positionV relativeFrom="page">
                <wp:align>bottom</wp:align>
              </wp:positionV>
              <wp:extent cx="443865" cy="443865"/>
              <wp:effectExtent l="0" t="0" r="11430" b="0"/>
              <wp:wrapNone/>
              <wp:docPr id="2" name="Text Box 2" descr="Information 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20333" w:rsidR="00C20333" w:rsidP="00C20333" w:rsidRDefault="00C20333" w14:paraId="36643FC0" w14:textId="3EEE7F5E">
                          <w:pPr>
                            <w:spacing w:after="0"/>
                            <w:rPr>
                              <w:rFonts w:ascii="Calibri" w:hAnsi="Calibri" w:eastAsia="Calibri" w:cs="Calibri"/>
                              <w:noProof/>
                              <w:color w:val="000000"/>
                              <w:sz w:val="20"/>
                              <w:szCs w:val="20"/>
                            </w:rPr>
                          </w:pPr>
                          <w:r w:rsidRPr="00C20333">
                            <w:rPr>
                              <w:rFonts w:ascii="Calibri" w:hAnsi="Calibri" w:eastAsia="Calibri" w:cs="Calibri"/>
                              <w:noProof/>
                              <w:color w:val="000000"/>
                              <w:sz w:val="20"/>
                              <w:szCs w:val="20"/>
                            </w:rPr>
                            <w:t>Information Classification: 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79348C44">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Information Classification: Restrict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C20333" w:rsidR="00C20333" w:rsidP="00C20333" w:rsidRDefault="00C20333" w14:paraId="36643FC0" w14:textId="3EEE7F5E">
                    <w:pPr>
                      <w:spacing w:after="0"/>
                      <w:rPr>
                        <w:rFonts w:ascii="Calibri" w:hAnsi="Calibri" w:eastAsia="Calibri" w:cs="Calibri"/>
                        <w:noProof/>
                        <w:color w:val="000000"/>
                        <w:sz w:val="20"/>
                        <w:szCs w:val="20"/>
                      </w:rPr>
                    </w:pPr>
                    <w:r w:rsidRPr="00C20333">
                      <w:rPr>
                        <w:rFonts w:ascii="Calibri" w:hAnsi="Calibri" w:eastAsia="Calibri" w:cs="Calibri"/>
                        <w:noProof/>
                        <w:color w:val="000000"/>
                        <w:sz w:val="20"/>
                        <w:szCs w:val="20"/>
                      </w:rPr>
                      <w:t>Information Classification: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20333" w:rsidRDefault="00C20333" w14:paraId="64B2272D" w14:textId="0F7F47D5">
    <w:pPr>
      <w:pStyle w:val="Footer"/>
    </w:pPr>
    <w:r>
      <w:rPr>
        <w:noProof/>
      </w:rPr>
      <mc:AlternateContent>
        <mc:Choice Requires="wps">
          <w:drawing>
            <wp:anchor distT="0" distB="0" distL="0" distR="0" simplePos="0" relativeHeight="251660288" behindDoc="0" locked="0" layoutInCell="1" allowOverlap="1" wp14:anchorId="20F3801C" wp14:editId="2CEF67F7">
              <wp:simplePos x="635" y="635"/>
              <wp:positionH relativeFrom="page">
                <wp:align>left</wp:align>
              </wp:positionH>
              <wp:positionV relativeFrom="page">
                <wp:align>bottom</wp:align>
              </wp:positionV>
              <wp:extent cx="443865" cy="443865"/>
              <wp:effectExtent l="0" t="0" r="11430" b="0"/>
              <wp:wrapNone/>
              <wp:docPr id="3" name="Text Box 3" descr="Information 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20333" w:rsidR="00C20333" w:rsidP="00C20333" w:rsidRDefault="00C20333" w14:paraId="7CAB7119" w14:textId="581EB415">
                          <w:pPr>
                            <w:spacing w:after="0"/>
                            <w:rPr>
                              <w:rFonts w:ascii="Calibri" w:hAnsi="Calibri" w:eastAsia="Calibri" w:cs="Calibri"/>
                              <w:noProof/>
                              <w:color w:val="000000"/>
                              <w:sz w:val="20"/>
                              <w:szCs w:val="20"/>
                            </w:rPr>
                          </w:pPr>
                          <w:r w:rsidRPr="00C20333">
                            <w:rPr>
                              <w:rFonts w:ascii="Calibri" w:hAnsi="Calibri" w:eastAsia="Calibri" w:cs="Calibri"/>
                              <w:noProof/>
                              <w:color w:val="000000"/>
                              <w:sz w:val="20"/>
                              <w:szCs w:val="20"/>
                            </w:rPr>
                            <w:t>Information Classification: 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20F3801C">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Information Classification: Restrict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fill o:detectmouseclick="t"/>
              <v:textbox style="mso-fit-shape-to-text:t" inset="20pt,0,0,15pt">
                <w:txbxContent>
                  <w:p w:rsidRPr="00C20333" w:rsidR="00C20333" w:rsidP="00C20333" w:rsidRDefault="00C20333" w14:paraId="7CAB7119" w14:textId="581EB415">
                    <w:pPr>
                      <w:spacing w:after="0"/>
                      <w:rPr>
                        <w:rFonts w:ascii="Calibri" w:hAnsi="Calibri" w:eastAsia="Calibri" w:cs="Calibri"/>
                        <w:noProof/>
                        <w:color w:val="000000"/>
                        <w:sz w:val="20"/>
                        <w:szCs w:val="20"/>
                      </w:rPr>
                    </w:pPr>
                    <w:r w:rsidRPr="00C20333">
                      <w:rPr>
                        <w:rFonts w:ascii="Calibri" w:hAnsi="Calibri" w:eastAsia="Calibri" w:cs="Calibri"/>
                        <w:noProof/>
                        <w:color w:val="000000"/>
                        <w:sz w:val="20"/>
                        <w:szCs w:val="20"/>
                      </w:rPr>
                      <w:t>Information Classification: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C20333" w:rsidRDefault="00C20333" w14:paraId="68680AD5" w14:textId="1AD83D83">
    <w:pPr>
      <w:pStyle w:val="Footer"/>
    </w:pPr>
    <w:r>
      <w:rPr>
        <w:noProof/>
      </w:rPr>
      <mc:AlternateContent>
        <mc:Choice Requires="wps">
          <w:drawing>
            <wp:anchor distT="0" distB="0" distL="0" distR="0" simplePos="0" relativeHeight="251658240" behindDoc="0" locked="0" layoutInCell="1" allowOverlap="1" wp14:anchorId="74BC7825" wp14:editId="7703523A">
              <wp:simplePos x="635" y="635"/>
              <wp:positionH relativeFrom="page">
                <wp:align>left</wp:align>
              </wp:positionH>
              <wp:positionV relativeFrom="page">
                <wp:align>bottom</wp:align>
              </wp:positionV>
              <wp:extent cx="443865" cy="443865"/>
              <wp:effectExtent l="0" t="0" r="11430" b="0"/>
              <wp:wrapNone/>
              <wp:docPr id="1" name="Text Box 1" descr="Information 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C20333" w:rsidR="00C20333" w:rsidP="00C20333" w:rsidRDefault="00C20333" w14:paraId="0FD219DD" w14:textId="0A36E531">
                          <w:pPr>
                            <w:spacing w:after="0"/>
                            <w:rPr>
                              <w:rFonts w:ascii="Calibri" w:hAnsi="Calibri" w:eastAsia="Calibri" w:cs="Calibri"/>
                              <w:noProof/>
                              <w:color w:val="000000"/>
                              <w:sz w:val="20"/>
                              <w:szCs w:val="20"/>
                            </w:rPr>
                          </w:pPr>
                          <w:r w:rsidRPr="00C20333">
                            <w:rPr>
                              <w:rFonts w:ascii="Calibri" w:hAnsi="Calibri" w:eastAsia="Calibri" w:cs="Calibri"/>
                              <w:noProof/>
                              <w:color w:val="000000"/>
                              <w:sz w:val="20"/>
                              <w:szCs w:val="20"/>
                            </w:rPr>
                            <w:t>Information Classification: Restricted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74BC7825">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Information Classification: Restricted"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C20333" w:rsidR="00C20333" w:rsidP="00C20333" w:rsidRDefault="00C20333" w14:paraId="0FD219DD" w14:textId="0A36E531">
                    <w:pPr>
                      <w:spacing w:after="0"/>
                      <w:rPr>
                        <w:rFonts w:ascii="Calibri" w:hAnsi="Calibri" w:eastAsia="Calibri" w:cs="Calibri"/>
                        <w:noProof/>
                        <w:color w:val="000000"/>
                        <w:sz w:val="20"/>
                        <w:szCs w:val="20"/>
                      </w:rPr>
                    </w:pPr>
                    <w:r w:rsidRPr="00C20333">
                      <w:rPr>
                        <w:rFonts w:ascii="Calibri" w:hAnsi="Calibri" w:eastAsia="Calibri" w:cs="Calibri"/>
                        <w:noProof/>
                        <w:color w:val="000000"/>
                        <w:sz w:val="20"/>
                        <w:szCs w:val="20"/>
                      </w:rPr>
                      <w:t>Information 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0333" w:rsidP="00C20333" w:rsidRDefault="00C20333" w14:paraId="43EA3AD7" w14:textId="77777777">
      <w:pPr>
        <w:spacing w:after="0" w:line="240" w:lineRule="auto"/>
      </w:pPr>
      <w:r>
        <w:separator/>
      </w:r>
    </w:p>
  </w:footnote>
  <w:footnote w:type="continuationSeparator" w:id="0">
    <w:p w:rsidR="00C20333" w:rsidP="00C20333" w:rsidRDefault="00C20333" w14:paraId="7C795C81"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HascVQmMAzDpK+" int2:id="VvT9t4uY">
      <int2:state int2:type="LegacyProofing" int2:value="Rejected"/>
    </int2:textHash>
    <int2:textHash int2:hashCode="Z0IOVQ6L8aINhX" int2:id="L0glOleV">
      <int2:state int2:type="LegacyProofing" int2:value="Rejected"/>
    </int2:textHash>
    <int2:textHash int2:hashCode="ECXyG0Yf84+QG6" int2:id="pvqzIBPr">
      <int2:state int2:type="LegacyProofing" int2:value="Rejected"/>
    </int2:textHash>
    <int2:textHash int2:hashCode="FPRZ1yFnCPrzsl" int2:id="IH0ue05L">
      <int2:state int2:type="LegacyProofing" int2:value="Rejected"/>
    </int2:textHash>
    <int2:bookmark int2:bookmarkName="_Int_UiI230HN" int2:invalidationBookmarkName="" int2:hashCode="xcliDxUSqdcu1m" int2:id="vKg5xLxU">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5">
    <w:nsid w:val="75dfbf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bb884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bc278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74ecb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bebd9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059C39"/>
    <w:rsid w:val="006A69A7"/>
    <w:rsid w:val="008D53EF"/>
    <w:rsid w:val="008E5E24"/>
    <w:rsid w:val="00C20333"/>
    <w:rsid w:val="01AF70CA"/>
    <w:rsid w:val="03CEA249"/>
    <w:rsid w:val="03D206E0"/>
    <w:rsid w:val="04F45C52"/>
    <w:rsid w:val="05D4C637"/>
    <w:rsid w:val="0629BD2B"/>
    <w:rsid w:val="06524761"/>
    <w:rsid w:val="076EB75A"/>
    <w:rsid w:val="07E8DD3E"/>
    <w:rsid w:val="0814FF74"/>
    <w:rsid w:val="0B931F6A"/>
    <w:rsid w:val="0E46CA79"/>
    <w:rsid w:val="0ED00E91"/>
    <w:rsid w:val="0EECD8FF"/>
    <w:rsid w:val="0F1154F0"/>
    <w:rsid w:val="0F2A27D1"/>
    <w:rsid w:val="101E4040"/>
    <w:rsid w:val="115B2807"/>
    <w:rsid w:val="125447CF"/>
    <w:rsid w:val="12C97681"/>
    <w:rsid w:val="12FC553D"/>
    <w:rsid w:val="133633EF"/>
    <w:rsid w:val="13F71A75"/>
    <w:rsid w:val="1498259E"/>
    <w:rsid w:val="17CA698B"/>
    <w:rsid w:val="1806FBD5"/>
    <w:rsid w:val="181029C8"/>
    <w:rsid w:val="196E435F"/>
    <w:rsid w:val="19945091"/>
    <w:rsid w:val="1A0A394D"/>
    <w:rsid w:val="1A43D1B6"/>
    <w:rsid w:val="1CEB8871"/>
    <w:rsid w:val="1D96FA76"/>
    <w:rsid w:val="200A00D6"/>
    <w:rsid w:val="21369123"/>
    <w:rsid w:val="219BEB73"/>
    <w:rsid w:val="21A5D137"/>
    <w:rsid w:val="22A2DEE9"/>
    <w:rsid w:val="2341A198"/>
    <w:rsid w:val="23BC72CA"/>
    <w:rsid w:val="23E4CFD9"/>
    <w:rsid w:val="2400DF25"/>
    <w:rsid w:val="24D38C35"/>
    <w:rsid w:val="24DD71F9"/>
    <w:rsid w:val="2588E3FE"/>
    <w:rsid w:val="27A45D49"/>
    <w:rsid w:val="29259478"/>
    <w:rsid w:val="2A02EA84"/>
    <w:rsid w:val="2A434E14"/>
    <w:rsid w:val="2AADA5C2"/>
    <w:rsid w:val="2ADF6761"/>
    <w:rsid w:val="2D842D46"/>
    <w:rsid w:val="2DDFDD3E"/>
    <w:rsid w:val="2F2C9699"/>
    <w:rsid w:val="31E2CC36"/>
    <w:rsid w:val="32DF307D"/>
    <w:rsid w:val="336353ED"/>
    <w:rsid w:val="340B24ED"/>
    <w:rsid w:val="35A6296E"/>
    <w:rsid w:val="35A6F54E"/>
    <w:rsid w:val="368F6624"/>
    <w:rsid w:val="3786BF84"/>
    <w:rsid w:val="39C706E6"/>
    <w:rsid w:val="3AC3304D"/>
    <w:rsid w:val="3B021414"/>
    <w:rsid w:val="3D21D91A"/>
    <w:rsid w:val="3F4DD794"/>
    <w:rsid w:val="40590117"/>
    <w:rsid w:val="41AC1B8D"/>
    <w:rsid w:val="42A646B7"/>
    <w:rsid w:val="444883C2"/>
    <w:rsid w:val="45076E7D"/>
    <w:rsid w:val="45A05794"/>
    <w:rsid w:val="45BD1918"/>
    <w:rsid w:val="45D2755C"/>
    <w:rsid w:val="466756B9"/>
    <w:rsid w:val="466E4107"/>
    <w:rsid w:val="46D1B20A"/>
    <w:rsid w:val="48E8A407"/>
    <w:rsid w:val="4ABDE5D6"/>
    <w:rsid w:val="4CE73C37"/>
    <w:rsid w:val="4D6C04EA"/>
    <w:rsid w:val="51AD08C8"/>
    <w:rsid w:val="531942C4"/>
    <w:rsid w:val="53D77A75"/>
    <w:rsid w:val="54B50837"/>
    <w:rsid w:val="55526A7F"/>
    <w:rsid w:val="555DEE72"/>
    <w:rsid w:val="55CE9B95"/>
    <w:rsid w:val="55FDDC84"/>
    <w:rsid w:val="5649C3DF"/>
    <w:rsid w:val="56F9BED3"/>
    <w:rsid w:val="57D33B45"/>
    <w:rsid w:val="58059C39"/>
    <w:rsid w:val="5841AF84"/>
    <w:rsid w:val="58AEB791"/>
    <w:rsid w:val="5A37081D"/>
    <w:rsid w:val="5AD5D696"/>
    <w:rsid w:val="5CA0206A"/>
    <w:rsid w:val="5CED3DBA"/>
    <w:rsid w:val="5D539DC2"/>
    <w:rsid w:val="5E0D7758"/>
    <w:rsid w:val="6054B9BE"/>
    <w:rsid w:val="60652CDB"/>
    <w:rsid w:val="6353D41E"/>
    <w:rsid w:val="642E4AD4"/>
    <w:rsid w:val="64E55074"/>
    <w:rsid w:val="65575372"/>
    <w:rsid w:val="65B7DA3B"/>
    <w:rsid w:val="66640174"/>
    <w:rsid w:val="6A00B916"/>
    <w:rsid w:val="6D1AA9ED"/>
    <w:rsid w:val="6D626557"/>
    <w:rsid w:val="6E39CEB2"/>
    <w:rsid w:val="6ECB2667"/>
    <w:rsid w:val="732D2FDA"/>
    <w:rsid w:val="752D13D4"/>
    <w:rsid w:val="774D0F9C"/>
    <w:rsid w:val="7A40E85F"/>
    <w:rsid w:val="7BDCB8C0"/>
    <w:rsid w:val="7C68CBF2"/>
    <w:rsid w:val="7D114C76"/>
    <w:rsid w:val="7D6AE4B7"/>
    <w:rsid w:val="7E2BE8AC"/>
    <w:rsid w:val="7E84EA42"/>
    <w:rsid w:val="7F9432F9"/>
    <w:rsid w:val="7FA14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9C39"/>
  <w15:chartTrackingRefBased/>
  <w15:docId w15:val="{EC13AD70-AD0A-49DD-97F7-52A9BC3C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aliases w:val="Varsayılan Paragraf Yazı Tipi,Fuente de párrafo predeter.,Police par défaut,Standardskrift for avsnitt"/>
    <w:uiPriority w:val="1"/>
    <w:semiHidden/>
    <w:unhideWhenUsed/>
  </w:style>
  <w:style w:type="table" w:styleId="TableNormal" w:default="1">
    <w:name w:val="Normal Table"/>
    <w:aliases w:val="Normal Tablo,Tabla normal,Tableau Normal,Vanlig tabell"/>
    <w:uiPriority w:val="99"/>
    <w:semiHidden/>
    <w:unhideWhenUsed/>
    <w:tblPr>
      <w:tblInd w:w="0" w:type="dxa"/>
      <w:tblCellMar>
        <w:top w:w="0" w:type="dxa"/>
        <w:left w:w="108" w:type="dxa"/>
        <w:bottom w:w="0" w:type="dxa"/>
        <w:right w:w="108" w:type="dxa"/>
      </w:tblCellMar>
    </w:tblPr>
  </w:style>
  <w:style w:type="numbering" w:styleId="NoList" w:default="1">
    <w:name w:val="No List"/>
    <w:aliases w:val="Liste Yok,Sin lista,Aucune liste,Ingen liste"/>
    <w:uiPriority w:val="99"/>
    <w:semiHidden/>
    <w:unhideWhenUsed/>
  </w:style>
  <w:style w:type="paragraph" w:styleId="Footer">
    <w:name w:val="footer"/>
    <w:basedOn w:val="Normal"/>
    <w:link w:val="FooterChar"/>
    <w:uiPriority w:val="99"/>
    <w:unhideWhenUsed/>
    <w:rsid w:val="00C203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C20333"/>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c04ed199f9484664" Type="http://schemas.microsoft.com/office/2020/10/relationships/intelligence" Target="intelligence2.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089cf5858c3241e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0626C6E733C478919D2847D86AA17" ma:contentTypeVersion="12" ma:contentTypeDescription="Create a new document." ma:contentTypeScope="" ma:versionID="37cf2bb26101480d53006aeb62114b83">
  <xsd:schema xmlns:xsd="http://www.w3.org/2001/XMLSchema" xmlns:xs="http://www.w3.org/2001/XMLSchema" xmlns:p="http://schemas.microsoft.com/office/2006/metadata/properties" xmlns:ns2="b2ee2a03-61db-4ccb-83f3-e8a67e85cb3b" xmlns:ns3="59b5b120-e864-488c-9aeb-e2e13c4dc192" targetNamespace="http://schemas.microsoft.com/office/2006/metadata/properties" ma:root="true" ma:fieldsID="1ee27ce4fa1e87675eb70aafb75d880c" ns2:_="" ns3:_="">
    <xsd:import namespace="b2ee2a03-61db-4ccb-83f3-e8a67e85cb3b"/>
    <xsd:import namespace="59b5b120-e864-488c-9aeb-e2e13c4dc1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2a03-61db-4ccb-83f3-e8a67e85c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bbe9fa-d8f7-408a-904b-e9b6ed491cd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5b120-e864-488c-9aeb-e2e13c4dc1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ee2a03-61db-4ccb-83f3-e8a67e85cb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8B6AAB-35C5-4E47-8C7A-2B49C2432277}"/>
</file>

<file path=customXml/itemProps2.xml><?xml version="1.0" encoding="utf-8"?>
<ds:datastoreItem xmlns:ds="http://schemas.openxmlformats.org/officeDocument/2006/customXml" ds:itemID="{A19B5983-441A-4577-A5C3-68EB025644CB}"/>
</file>

<file path=customXml/itemProps3.xml><?xml version="1.0" encoding="utf-8"?>
<ds:datastoreItem xmlns:ds="http://schemas.openxmlformats.org/officeDocument/2006/customXml" ds:itemID="{B7CE0C93-7600-4013-90A4-BD697E06CC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Hammond</dc:creator>
  <cp:keywords/>
  <dc:description/>
  <cp:lastModifiedBy>Sarah Hammond</cp:lastModifiedBy>
  <cp:revision>2</cp:revision>
  <dcterms:created xsi:type="dcterms:W3CDTF">2023-03-16T14:38:00Z</dcterms:created>
  <dcterms:modified xsi:type="dcterms:W3CDTF">2023-03-17T09:44:54Z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Information Classification: Restricted</vt:lpwstr>
  </property>
  <property fmtid="{D5CDD505-2E9C-101B-9397-08002B2CF9AE}" pid="5" name="MSIP_Label_c3743136-c9a5-4893-8e59-78d6fc7ec77a_Enabled">
    <vt:lpwstr>true</vt:lpwstr>
  </property>
  <property fmtid="{D5CDD505-2E9C-101B-9397-08002B2CF9AE}" pid="6" name="MSIP_Label_c3743136-c9a5-4893-8e59-78d6fc7ec77a_SetDate">
    <vt:lpwstr>2023-03-16T14:38:11Z</vt:lpwstr>
  </property>
  <property fmtid="{D5CDD505-2E9C-101B-9397-08002B2CF9AE}" pid="7" name="MSIP_Label_c3743136-c9a5-4893-8e59-78d6fc7ec77a_Method">
    <vt:lpwstr>Privileged</vt:lpwstr>
  </property>
  <property fmtid="{D5CDD505-2E9C-101B-9397-08002B2CF9AE}" pid="8" name="MSIP_Label_c3743136-c9a5-4893-8e59-78d6fc7ec77a_Name">
    <vt:lpwstr>Internal</vt:lpwstr>
  </property>
  <property fmtid="{D5CDD505-2E9C-101B-9397-08002B2CF9AE}" pid="9" name="MSIP_Label_c3743136-c9a5-4893-8e59-78d6fc7ec77a_SiteId">
    <vt:lpwstr>bfe468e6-431d-4c6e-8694-0a590ad10cb3</vt:lpwstr>
  </property>
  <property fmtid="{D5CDD505-2E9C-101B-9397-08002B2CF9AE}" pid="10" name="MSIP_Label_c3743136-c9a5-4893-8e59-78d6fc7ec77a_ActionId">
    <vt:lpwstr>055983a7-169d-44a3-a416-4400dc7904b1</vt:lpwstr>
  </property>
  <property fmtid="{D5CDD505-2E9C-101B-9397-08002B2CF9AE}" pid="11" name="MSIP_Label_c3743136-c9a5-4893-8e59-78d6fc7ec77a_ContentBits">
    <vt:lpwstr>2</vt:lpwstr>
  </property>
  <property fmtid="{D5CDD505-2E9C-101B-9397-08002B2CF9AE}" pid="12" name="ContentTypeId">
    <vt:lpwstr>0x0101009600626C6E733C478919D2847D86AA17</vt:lpwstr>
  </property>
</Properties>
</file>